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73A9B8A" w14:textId="54C96A86" w:rsidR="00DF5269" w:rsidRDefault="00E41D61" w:rsidP="00C12A2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noProof/>
          <w:sz w:val="28"/>
          <w:szCs w:val="28"/>
          <w:lang w:val="es-EC" w:eastAsia="es-EC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 wp14:anchorId="07C60A72" wp14:editId="6106E05D">
                <wp:simplePos x="0" y="0"/>
                <wp:positionH relativeFrom="margin">
                  <wp:posOffset>-536575</wp:posOffset>
                </wp:positionH>
                <wp:positionV relativeFrom="page">
                  <wp:posOffset>413385</wp:posOffset>
                </wp:positionV>
                <wp:extent cx="1589405" cy="376555"/>
                <wp:effectExtent l="0" t="0" r="0" b="0"/>
                <wp:wrapNone/>
                <wp:docPr id="1073741831" name="Rectángulo 1073741831" descr="Boletín N° 0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9405" cy="376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66C0A7" w14:textId="10543C14" w:rsidR="00E41D61" w:rsidRDefault="00E41D61" w:rsidP="00E41D61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8"/>
                              </w:rPr>
                              <w:t xml:space="preserve">Boletín N° </w:t>
                            </w:r>
                            <w:r w:rsidR="00B75515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8"/>
                              </w:rPr>
                              <w:t>385</w:t>
                            </w:r>
                          </w:p>
                        </w:txbxContent>
                      </wps:txbx>
                      <wps:bodyPr spcFirstLastPara="1" wrap="square" lIns="45675" tIns="45675" rIns="45675" bIns="4567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7C60A72" id="Rectángulo 1073741831" o:spid="_x0000_s1026" alt="Boletín N° 000" style="position:absolute;left:0;text-align:left;margin-left:-42.25pt;margin-top:32.55pt;width:125.15pt;height:29.65pt;z-index:25166131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" filled="f" stroked="f">
                <v:textbox inset="1.26875mm,1.26875mm,1.26875mm,1.26875mm">
                  <w:txbxContent>
                    <w:p w14:paraId="6466C0A7" w14:textId="10543C14" w:rsidR="00E41D61" w:rsidRDefault="00E41D61" w:rsidP="00E41D61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28"/>
                        </w:rPr>
                        <w:t xml:space="preserve">Boletín N° </w:t>
                      </w:r>
                      <w:r w:rsidR="00B75515">
                        <w:rPr>
                          <w:rFonts w:ascii="Arial" w:eastAsia="Arial" w:hAnsi="Arial" w:cs="Arial"/>
                          <w:b/>
                          <w:color w:val="FFFFFF"/>
                          <w:sz w:val="28"/>
                        </w:rPr>
                        <w:t>385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rFonts w:ascii="Arial" w:eastAsia="Arial" w:hAnsi="Arial" w:cs="Arial"/>
          <w:noProof/>
          <w:color w:val="000000"/>
          <w:sz w:val="28"/>
          <w:szCs w:val="28"/>
          <w:lang w:val="es-EC" w:eastAsia="es-EC"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 wp14:anchorId="5CF55B67" wp14:editId="28FA047E">
                <wp:simplePos x="0" y="0"/>
                <wp:positionH relativeFrom="margin">
                  <wp:posOffset>4145280</wp:posOffset>
                </wp:positionH>
                <wp:positionV relativeFrom="page">
                  <wp:posOffset>529590</wp:posOffset>
                </wp:positionV>
                <wp:extent cx="1766815" cy="340414"/>
                <wp:effectExtent l="0" t="0" r="0" b="0"/>
                <wp:wrapNone/>
                <wp:docPr id="1073741830" name="Rectángulo 1073741830" descr="02 de junio de 2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6815" cy="340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D6E988" w14:textId="06145B52" w:rsidR="00DF5269" w:rsidRDefault="00DE3ECC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484396"/>
                                <w:sz w:val="28"/>
                              </w:rPr>
                              <w:t>19 de junio de 2025</w:t>
                            </w:r>
                          </w:p>
                        </w:txbxContent>
                      </wps:txbx>
                      <wps:bodyPr spcFirstLastPara="1" wrap="square" lIns="45675" tIns="45675" rIns="45675" bIns="4567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CF55B67" id="Rectángulo 1073741830" o:spid="_x0000_s1027" alt="02 de junio de 2025" style="position:absolute;left:0;text-align:left;margin-left:326.4pt;margin-top:41.7pt;width:139.1pt;height:26.8pt;z-index:25165926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" filled="f" stroked="f">
                <v:textbox inset="1.26875mm,1.26875mm,1.26875mm,1.26875mm">
                  <w:txbxContent>
                    <w:p w14:paraId="46D6E988" w14:textId="06145B52" w:rsidR="00DF5269" w:rsidRDefault="00DE3ECC">
                      <w:pPr>
                        <w:jc w:val="right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484396"/>
                          <w:sz w:val="28"/>
                        </w:rPr>
                        <w:t>19</w:t>
                      </w:r>
                      <w:r w:rsidR="00000000">
                        <w:rPr>
                          <w:rFonts w:ascii="Arial" w:eastAsia="Arial" w:hAnsi="Arial" w:cs="Arial"/>
                          <w:color w:val="484396"/>
                          <w:sz w:val="28"/>
                        </w:rPr>
                        <w:t xml:space="preserve"> de junio de 2025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DE3ECC">
        <w:rPr>
          <w:rFonts w:ascii="Arial" w:eastAsia="Arial" w:hAnsi="Arial" w:cs="Arial"/>
          <w:b/>
          <w:color w:val="000000"/>
          <w:sz w:val="28"/>
          <w:szCs w:val="28"/>
        </w:rPr>
        <w:t>MAG impuls</w:t>
      </w:r>
      <w:r w:rsidR="00C12A2D">
        <w:rPr>
          <w:rFonts w:ascii="Arial" w:eastAsia="Arial" w:hAnsi="Arial" w:cs="Arial"/>
          <w:b/>
          <w:color w:val="000000"/>
          <w:sz w:val="28"/>
          <w:szCs w:val="28"/>
        </w:rPr>
        <w:t>a</w:t>
      </w:r>
      <w:r w:rsidR="00DE3ECC">
        <w:rPr>
          <w:rFonts w:ascii="Arial" w:eastAsia="Arial" w:hAnsi="Arial" w:cs="Arial"/>
          <w:b/>
          <w:color w:val="000000"/>
          <w:sz w:val="28"/>
          <w:szCs w:val="28"/>
        </w:rPr>
        <w:t xml:space="preserve"> el desarrollo rural en Loja con más de 1.100 títulos de tierras, riego tecnificado y </w:t>
      </w:r>
      <w:r w:rsidR="00C12A2D">
        <w:rPr>
          <w:rFonts w:ascii="Arial" w:eastAsia="Arial" w:hAnsi="Arial" w:cs="Arial"/>
          <w:b/>
          <w:color w:val="000000"/>
          <w:sz w:val="28"/>
          <w:szCs w:val="28"/>
        </w:rPr>
        <w:t>asistencias</w:t>
      </w:r>
    </w:p>
    <w:p w14:paraId="7089AFF8" w14:textId="77777777" w:rsidR="00252C0A" w:rsidRPr="009B4B6C" w:rsidRDefault="00252C0A" w:rsidP="00C12A2D">
      <w:pPr>
        <w:rPr>
          <w:rFonts w:ascii="Arial" w:hAnsi="Arial" w:cs="Arial"/>
          <w:b/>
          <w:bCs/>
          <w:sz w:val="28"/>
          <w:szCs w:val="28"/>
        </w:rPr>
      </w:pPr>
    </w:p>
    <w:p w14:paraId="6B935BF6" w14:textId="14BACB9C" w:rsidR="00DE3ECC" w:rsidRPr="004411B7" w:rsidRDefault="00DE3ECC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  <w:r w:rsidRPr="004411B7">
        <w:rPr>
          <w:rFonts w:ascii="Arial" w:hAnsi="Arial" w:cs="Arial"/>
          <w:color w:val="000000" w:themeColor="text1"/>
          <w:lang w:val="es-ES_tradnl"/>
        </w:rPr>
        <w:t xml:space="preserve">Con el propósito de garantizar una gestión transparente, participativa y eficiente, la Dirección Distrital Loja del Ministerio de Agricultura y Ganadería (MAG) realizó su evento de Rendición de Cuentas 2024, destacando </w:t>
      </w:r>
      <w:r>
        <w:rPr>
          <w:rFonts w:ascii="Arial" w:hAnsi="Arial" w:cs="Arial"/>
          <w:color w:val="000000" w:themeColor="text1"/>
          <w:lang w:val="es-ES_tradnl"/>
        </w:rPr>
        <w:t>los</w:t>
      </w:r>
      <w:r w:rsidRPr="004411B7">
        <w:rPr>
          <w:rFonts w:ascii="Arial" w:hAnsi="Arial" w:cs="Arial"/>
          <w:color w:val="000000" w:themeColor="text1"/>
          <w:lang w:val="es-ES_tradnl"/>
        </w:rPr>
        <w:t xml:space="preserve"> logros </w:t>
      </w:r>
      <w:r>
        <w:rPr>
          <w:rFonts w:ascii="Arial" w:hAnsi="Arial" w:cs="Arial"/>
          <w:color w:val="000000" w:themeColor="text1"/>
          <w:lang w:val="es-ES_tradnl"/>
        </w:rPr>
        <w:t xml:space="preserve">alcanzados para </w:t>
      </w:r>
      <w:r w:rsidRPr="004411B7">
        <w:rPr>
          <w:rFonts w:ascii="Arial" w:hAnsi="Arial" w:cs="Arial"/>
          <w:color w:val="000000" w:themeColor="text1"/>
          <w:lang w:val="es-ES_tradnl"/>
        </w:rPr>
        <w:t>el fortalecimiento del sector agropecuario, el acceso a la tierra, la tecnificación del riego, el impulso a la Agricultura Familiar Campesina, entre otros ámbitos clave para el desarrollo rural de la provincia.</w:t>
      </w:r>
    </w:p>
    <w:p w14:paraId="0F3BE3BB" w14:textId="77777777" w:rsidR="00DE3ECC" w:rsidRPr="004411B7" w:rsidRDefault="00DE3ECC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</w:p>
    <w:p w14:paraId="079C3E0D" w14:textId="0CFB2869" w:rsidR="00DE3ECC" w:rsidRPr="004411B7" w:rsidRDefault="00DE3ECC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  <w:r w:rsidRPr="004411B7">
        <w:rPr>
          <w:rFonts w:ascii="Arial" w:hAnsi="Arial" w:cs="Arial"/>
          <w:color w:val="000000" w:themeColor="text1"/>
          <w:lang w:val="es-ES_tradnl"/>
        </w:rPr>
        <w:t>Durante 2024, el MAG entregó 1.157 títulos de propiedad</w:t>
      </w:r>
      <w:r>
        <w:rPr>
          <w:rFonts w:ascii="Arial" w:hAnsi="Arial" w:cs="Arial"/>
          <w:color w:val="000000" w:themeColor="text1"/>
          <w:lang w:val="es-ES_tradnl"/>
        </w:rPr>
        <w:t xml:space="preserve"> de tierras</w:t>
      </w:r>
      <w:r w:rsidRPr="004411B7">
        <w:rPr>
          <w:rFonts w:ascii="Arial" w:hAnsi="Arial" w:cs="Arial"/>
          <w:color w:val="000000" w:themeColor="text1"/>
          <w:lang w:val="es-ES_tradnl"/>
        </w:rPr>
        <w:t xml:space="preserve">, legalizando 1.650,49 hectáreas en beneficio de productores rurales. Además, </w:t>
      </w:r>
      <w:r>
        <w:rPr>
          <w:rFonts w:ascii="Arial" w:hAnsi="Arial" w:cs="Arial"/>
          <w:color w:val="000000" w:themeColor="text1"/>
          <w:lang w:val="es-ES_tradnl"/>
        </w:rPr>
        <w:t>atendió</w:t>
      </w:r>
      <w:r w:rsidRPr="004411B7">
        <w:rPr>
          <w:rFonts w:ascii="Arial" w:hAnsi="Arial" w:cs="Arial"/>
          <w:color w:val="000000" w:themeColor="text1"/>
          <w:lang w:val="es-ES_tradnl"/>
        </w:rPr>
        <w:t xml:space="preserve"> directa</w:t>
      </w:r>
      <w:r>
        <w:rPr>
          <w:rFonts w:ascii="Arial" w:hAnsi="Arial" w:cs="Arial"/>
          <w:color w:val="000000" w:themeColor="text1"/>
          <w:lang w:val="es-ES_tradnl"/>
        </w:rPr>
        <w:t xml:space="preserve">mente </w:t>
      </w:r>
      <w:r w:rsidRPr="004411B7">
        <w:rPr>
          <w:rFonts w:ascii="Arial" w:hAnsi="Arial" w:cs="Arial"/>
          <w:color w:val="000000" w:themeColor="text1"/>
          <w:lang w:val="es-ES_tradnl"/>
        </w:rPr>
        <w:t xml:space="preserve">a más de 2.500 usuarios, en coordinación con </w:t>
      </w:r>
      <w:r>
        <w:rPr>
          <w:rFonts w:ascii="Arial" w:hAnsi="Arial" w:cs="Arial"/>
          <w:color w:val="000000" w:themeColor="text1"/>
          <w:lang w:val="es-ES_tradnl"/>
        </w:rPr>
        <w:t>gobiernos autónomos descentralizados</w:t>
      </w:r>
      <w:r w:rsidRPr="004411B7">
        <w:rPr>
          <w:rFonts w:ascii="Arial" w:hAnsi="Arial" w:cs="Arial"/>
          <w:color w:val="000000" w:themeColor="text1"/>
          <w:lang w:val="es-ES_tradnl"/>
        </w:rPr>
        <w:t xml:space="preserve"> municipales y ten</w:t>
      </w:r>
      <w:r>
        <w:rPr>
          <w:rFonts w:ascii="Arial" w:hAnsi="Arial" w:cs="Arial"/>
          <w:color w:val="000000" w:themeColor="text1"/>
          <w:lang w:val="es-ES_tradnl"/>
        </w:rPr>
        <w:t>encias</w:t>
      </w:r>
      <w:r w:rsidRPr="004411B7">
        <w:rPr>
          <w:rFonts w:ascii="Arial" w:hAnsi="Arial" w:cs="Arial"/>
          <w:color w:val="000000" w:themeColor="text1"/>
          <w:lang w:val="es-ES_tradnl"/>
        </w:rPr>
        <w:t xml:space="preserve"> polític</w:t>
      </w:r>
      <w:r>
        <w:rPr>
          <w:rFonts w:ascii="Arial" w:hAnsi="Arial" w:cs="Arial"/>
          <w:color w:val="000000" w:themeColor="text1"/>
          <w:lang w:val="es-ES_tradnl"/>
        </w:rPr>
        <w:t>a</w:t>
      </w:r>
      <w:r w:rsidRPr="004411B7">
        <w:rPr>
          <w:rFonts w:ascii="Arial" w:hAnsi="Arial" w:cs="Arial"/>
          <w:color w:val="000000" w:themeColor="text1"/>
          <w:lang w:val="es-ES_tradnl"/>
        </w:rPr>
        <w:t xml:space="preserve">s, mediante brigadas de inspección </w:t>
      </w:r>
      <w:r>
        <w:rPr>
          <w:rFonts w:ascii="Arial" w:hAnsi="Arial" w:cs="Arial"/>
          <w:color w:val="000000" w:themeColor="text1"/>
          <w:lang w:val="es-ES_tradnl"/>
        </w:rPr>
        <w:t xml:space="preserve">el </w:t>
      </w:r>
      <w:r w:rsidRPr="004411B7">
        <w:rPr>
          <w:rFonts w:ascii="Arial" w:hAnsi="Arial" w:cs="Arial"/>
          <w:color w:val="000000" w:themeColor="text1"/>
          <w:lang w:val="es-ES_tradnl"/>
        </w:rPr>
        <w:t>en territorio.</w:t>
      </w:r>
    </w:p>
    <w:p w14:paraId="10052648" w14:textId="77777777" w:rsidR="00DE3ECC" w:rsidRPr="004411B7" w:rsidRDefault="00DE3ECC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</w:p>
    <w:p w14:paraId="7515DAAD" w14:textId="77777777" w:rsidR="00DE3ECC" w:rsidRDefault="00DE3ECC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  <w:r w:rsidRPr="004411B7">
        <w:rPr>
          <w:rFonts w:ascii="Arial" w:hAnsi="Arial" w:cs="Arial"/>
          <w:color w:val="000000" w:themeColor="text1"/>
          <w:lang w:val="es-ES_tradnl"/>
        </w:rPr>
        <w:t>La ejecución de proyectos de irrigación parcelaria tecnificada permitió optimizar el uso del agua en zonas agrícolas. En el subproyecto El Verdún (Catamayo), se tecnificaron 50,64 hectáreas beneficiando a 83 productores, con una inversión 413.881,77</w:t>
      </w:r>
      <w:r>
        <w:rPr>
          <w:rFonts w:ascii="Arial" w:hAnsi="Arial" w:cs="Arial"/>
          <w:color w:val="000000" w:themeColor="text1"/>
          <w:lang w:val="es-ES_tradnl"/>
        </w:rPr>
        <w:t xml:space="preserve"> dólares.</w:t>
      </w:r>
    </w:p>
    <w:p w14:paraId="738F7D82" w14:textId="77777777" w:rsidR="00DE3ECC" w:rsidRDefault="00DE3ECC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</w:p>
    <w:p w14:paraId="309A5C6B" w14:textId="00C77B74" w:rsidR="00DE3ECC" w:rsidRPr="004411B7" w:rsidRDefault="00DE3ECC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  <w:r>
        <w:rPr>
          <w:rFonts w:ascii="Arial" w:hAnsi="Arial" w:cs="Arial"/>
          <w:color w:val="000000" w:themeColor="text1"/>
          <w:lang w:val="es-ES_tradnl"/>
        </w:rPr>
        <w:t>Para impulsar la Agricultura Familiar Campesina (AFC), e</w:t>
      </w:r>
      <w:r w:rsidRPr="004411B7">
        <w:rPr>
          <w:rFonts w:ascii="Arial" w:hAnsi="Arial" w:cs="Arial"/>
          <w:color w:val="000000" w:themeColor="text1"/>
          <w:lang w:val="es-ES_tradnl"/>
        </w:rPr>
        <w:t>l MAG implementó 10 comunidades de aprendizaje en 9 cantones y acompañó a 44 fincas en su transición hacia sistemas sustentables</w:t>
      </w:r>
      <w:r>
        <w:rPr>
          <w:rFonts w:ascii="Arial" w:hAnsi="Arial" w:cs="Arial"/>
          <w:color w:val="000000" w:themeColor="text1"/>
          <w:lang w:val="es-ES_tradnl"/>
        </w:rPr>
        <w:t>; 1.596 p</w:t>
      </w:r>
      <w:r w:rsidRPr="00DD6E7E">
        <w:rPr>
          <w:rFonts w:ascii="Arial" w:hAnsi="Arial" w:cs="Arial"/>
          <w:color w:val="000000" w:themeColor="text1"/>
          <w:lang w:val="es-ES_tradnl"/>
        </w:rPr>
        <w:t>roducto</w:t>
      </w:r>
      <w:r>
        <w:rPr>
          <w:rFonts w:ascii="Arial" w:hAnsi="Arial" w:cs="Arial"/>
          <w:color w:val="000000" w:themeColor="text1"/>
          <w:lang w:val="es-ES_tradnl"/>
        </w:rPr>
        <w:t xml:space="preserve">res fueron </w:t>
      </w:r>
      <w:r w:rsidRPr="00DD6E7E">
        <w:rPr>
          <w:rFonts w:ascii="Arial" w:hAnsi="Arial" w:cs="Arial"/>
          <w:color w:val="000000" w:themeColor="text1"/>
          <w:lang w:val="es-ES_tradnl"/>
        </w:rPr>
        <w:t xml:space="preserve">incorporados </w:t>
      </w:r>
      <w:r>
        <w:rPr>
          <w:rFonts w:ascii="Arial" w:hAnsi="Arial" w:cs="Arial"/>
          <w:color w:val="000000" w:themeColor="text1"/>
          <w:lang w:val="es-ES_tradnl"/>
        </w:rPr>
        <w:t>a</w:t>
      </w:r>
      <w:r w:rsidRPr="00DD6E7E">
        <w:rPr>
          <w:rFonts w:ascii="Arial" w:hAnsi="Arial" w:cs="Arial"/>
          <w:color w:val="000000" w:themeColor="text1"/>
          <w:lang w:val="es-ES_tradnl"/>
        </w:rPr>
        <w:t xml:space="preserve">l registro </w:t>
      </w:r>
      <w:r>
        <w:rPr>
          <w:rFonts w:ascii="Arial" w:hAnsi="Arial" w:cs="Arial"/>
          <w:color w:val="000000" w:themeColor="text1"/>
          <w:lang w:val="es-ES_tradnl"/>
        </w:rPr>
        <w:t xml:space="preserve">de la AFC y </w:t>
      </w:r>
      <w:r w:rsidRPr="00DD6E7E">
        <w:rPr>
          <w:rFonts w:ascii="Arial" w:hAnsi="Arial" w:cs="Arial"/>
          <w:color w:val="000000" w:themeColor="text1"/>
          <w:lang w:val="es-ES_tradnl"/>
        </w:rPr>
        <w:t>22 productores accedieron al uso del Sello AFC</w:t>
      </w:r>
      <w:r w:rsidRPr="004411B7">
        <w:rPr>
          <w:rFonts w:ascii="Arial" w:hAnsi="Arial" w:cs="Arial"/>
          <w:color w:val="000000" w:themeColor="text1"/>
          <w:lang w:val="es-ES_tradnl"/>
        </w:rPr>
        <w:t>. A través de los 16 Circuitos Alternativos de Comercialización (C</w:t>
      </w:r>
      <w:r>
        <w:rPr>
          <w:rFonts w:ascii="Arial" w:hAnsi="Arial" w:cs="Arial"/>
          <w:color w:val="000000" w:themeColor="text1"/>
          <w:lang w:val="es-ES_tradnl"/>
        </w:rPr>
        <w:t>ialcos</w:t>
      </w:r>
      <w:r w:rsidRPr="004411B7">
        <w:rPr>
          <w:rFonts w:ascii="Arial" w:hAnsi="Arial" w:cs="Arial"/>
          <w:color w:val="000000" w:themeColor="text1"/>
          <w:lang w:val="es-ES_tradnl"/>
        </w:rPr>
        <w:t xml:space="preserve">) activos, 238 productores comercializaron sus productos, generando 181.608,07 </w:t>
      </w:r>
      <w:r>
        <w:rPr>
          <w:rFonts w:ascii="Arial" w:hAnsi="Arial" w:cs="Arial"/>
          <w:color w:val="000000" w:themeColor="text1"/>
          <w:lang w:val="es-ES_tradnl"/>
        </w:rPr>
        <w:t xml:space="preserve">dólares </w:t>
      </w:r>
      <w:r w:rsidRPr="004411B7">
        <w:rPr>
          <w:rFonts w:ascii="Arial" w:hAnsi="Arial" w:cs="Arial"/>
          <w:color w:val="000000" w:themeColor="text1"/>
          <w:lang w:val="es-ES_tradnl"/>
        </w:rPr>
        <w:t>en ventas.</w:t>
      </w:r>
    </w:p>
    <w:p w14:paraId="2CD83A8E" w14:textId="77777777" w:rsidR="00DE3ECC" w:rsidRPr="004411B7" w:rsidRDefault="00DE3ECC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</w:p>
    <w:p w14:paraId="7E4B3093" w14:textId="4241B8DE" w:rsidR="00DE3ECC" w:rsidRPr="004411B7" w:rsidRDefault="00DE3ECC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  <w:r w:rsidRPr="004411B7">
        <w:rPr>
          <w:rFonts w:ascii="Arial" w:hAnsi="Arial" w:cs="Arial"/>
          <w:color w:val="000000" w:themeColor="text1"/>
          <w:lang w:val="es-ES_tradnl"/>
        </w:rPr>
        <w:t>Mediante la Estrategia Nacional de Mujeres Rurales (ENAMR) se capacitó a 85 mujeres, de las cuales 65 implementaron sistemas agroforestales y 26 se integraron a Sistemas Participativos de Garantía. También se fortalecieron saberes ancestrales con la implementación de una Casa de Semillas</w:t>
      </w:r>
      <w:r>
        <w:rPr>
          <w:rFonts w:ascii="Arial" w:hAnsi="Arial" w:cs="Arial"/>
          <w:color w:val="000000" w:themeColor="text1"/>
          <w:lang w:val="es-ES_tradnl"/>
        </w:rPr>
        <w:t>,</w:t>
      </w:r>
      <w:r w:rsidRPr="004411B7">
        <w:rPr>
          <w:rFonts w:ascii="Arial" w:hAnsi="Arial" w:cs="Arial"/>
          <w:color w:val="000000" w:themeColor="text1"/>
          <w:lang w:val="es-ES_tradnl"/>
        </w:rPr>
        <w:t xml:space="preserve"> en San Lucas</w:t>
      </w:r>
      <w:r>
        <w:rPr>
          <w:rFonts w:ascii="Arial" w:hAnsi="Arial" w:cs="Arial"/>
          <w:color w:val="000000" w:themeColor="text1"/>
          <w:lang w:val="es-ES_tradnl"/>
        </w:rPr>
        <w:t>,</w:t>
      </w:r>
      <w:r w:rsidRPr="004411B7">
        <w:rPr>
          <w:rFonts w:ascii="Arial" w:hAnsi="Arial" w:cs="Arial"/>
          <w:color w:val="000000" w:themeColor="text1"/>
          <w:lang w:val="es-ES_tradnl"/>
        </w:rPr>
        <w:t xml:space="preserve"> y la capacitación de 68 productores en conservación de semillas nativas.</w:t>
      </w:r>
    </w:p>
    <w:p w14:paraId="25937330" w14:textId="77777777" w:rsidR="00DE3ECC" w:rsidRPr="004411B7" w:rsidRDefault="00DE3ECC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</w:p>
    <w:p w14:paraId="556AE5EC" w14:textId="77777777" w:rsidR="00DE3ECC" w:rsidRDefault="00DE3ECC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  <w:r w:rsidRPr="004411B7">
        <w:rPr>
          <w:rFonts w:ascii="Arial" w:hAnsi="Arial" w:cs="Arial"/>
          <w:color w:val="000000" w:themeColor="text1"/>
          <w:lang w:val="es-ES_tradnl"/>
        </w:rPr>
        <w:t>En producción agrícola, se realizaron 1.134 capacitaciones y más de 10.800 asistencias técnicas. También se entregaron 1.268 paquetes tecnológicos (maíz, café, arroz, tomate, papa, pasto, entre otros) con una subvención estatal de 222.295</w:t>
      </w:r>
      <w:r>
        <w:rPr>
          <w:rFonts w:ascii="Arial" w:hAnsi="Arial" w:cs="Arial"/>
          <w:color w:val="000000" w:themeColor="text1"/>
          <w:lang w:val="es-ES_tradnl"/>
        </w:rPr>
        <w:t xml:space="preserve"> dólares</w:t>
      </w:r>
      <w:r w:rsidRPr="004411B7">
        <w:rPr>
          <w:rFonts w:ascii="Arial" w:hAnsi="Arial" w:cs="Arial"/>
          <w:color w:val="000000" w:themeColor="text1"/>
          <w:lang w:val="es-ES_tradnl"/>
        </w:rPr>
        <w:t xml:space="preserve">, destacando entregas en los cantones Calvas, Puyango, Espíndola y Sozoranga. </w:t>
      </w:r>
    </w:p>
    <w:p w14:paraId="7A5CA63E" w14:textId="77777777" w:rsidR="00DE3ECC" w:rsidRDefault="00DE3ECC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</w:p>
    <w:p w14:paraId="5DAA2DAA" w14:textId="01036595" w:rsidR="00DE3ECC" w:rsidRPr="004411B7" w:rsidRDefault="00DE3ECC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  <w:r w:rsidRPr="004411B7">
        <w:rPr>
          <w:rFonts w:ascii="Arial" w:hAnsi="Arial" w:cs="Arial"/>
          <w:color w:val="000000" w:themeColor="text1"/>
          <w:lang w:val="es-ES_tradnl"/>
        </w:rPr>
        <w:t>En mecanización, se entregaron 4 motocultores a asociaciones en Espíndola, Pindal, Saraguro y Loja, y se intervinieron 500 hectáreas con maquinaria agrícola.</w:t>
      </w:r>
    </w:p>
    <w:p w14:paraId="64A6AE78" w14:textId="77777777" w:rsidR="00DE3ECC" w:rsidRPr="004411B7" w:rsidRDefault="00DE3ECC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</w:p>
    <w:p w14:paraId="715087DC" w14:textId="77777777" w:rsidR="00DE3ECC" w:rsidRDefault="00DE3ECC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  <w:r w:rsidRPr="004411B7">
        <w:rPr>
          <w:rFonts w:ascii="Arial" w:hAnsi="Arial" w:cs="Arial"/>
          <w:color w:val="000000" w:themeColor="text1"/>
          <w:lang w:val="es-ES_tradnl"/>
        </w:rPr>
        <w:t xml:space="preserve">Dentro del Programa Nacional de Reconversión </w:t>
      </w:r>
      <w:r>
        <w:rPr>
          <w:rFonts w:ascii="Arial" w:hAnsi="Arial" w:cs="Arial"/>
          <w:color w:val="000000" w:themeColor="text1"/>
          <w:lang w:val="es-ES_tradnl"/>
        </w:rPr>
        <w:t xml:space="preserve">y Sostenibilidad </w:t>
      </w:r>
      <w:r w:rsidRPr="004411B7">
        <w:rPr>
          <w:rFonts w:ascii="Arial" w:hAnsi="Arial" w:cs="Arial"/>
          <w:color w:val="000000" w:themeColor="text1"/>
          <w:lang w:val="es-ES_tradnl"/>
        </w:rPr>
        <w:t>Ganader</w:t>
      </w:r>
      <w:r>
        <w:rPr>
          <w:rFonts w:ascii="Arial" w:hAnsi="Arial" w:cs="Arial"/>
          <w:color w:val="000000" w:themeColor="text1"/>
          <w:lang w:val="es-ES_tradnl"/>
        </w:rPr>
        <w:t>a</w:t>
      </w:r>
      <w:r w:rsidRPr="004411B7">
        <w:rPr>
          <w:rFonts w:ascii="Arial" w:hAnsi="Arial" w:cs="Arial"/>
          <w:color w:val="000000" w:themeColor="text1"/>
          <w:lang w:val="es-ES_tradnl"/>
        </w:rPr>
        <w:t xml:space="preserve"> se entregaron 187 paquetes tecnológicos, incluyendo 2 tractores y 180 kits silvopastoriles, además de la creación de 5 Escuelas de Fortalecimiento Productivo Pecuario. </w:t>
      </w:r>
    </w:p>
    <w:p w14:paraId="724E963C" w14:textId="77777777" w:rsidR="00DE3ECC" w:rsidRDefault="00DE3ECC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</w:p>
    <w:p w14:paraId="69801805" w14:textId="525A15B7" w:rsidR="00DE3ECC" w:rsidRPr="004411B7" w:rsidRDefault="00DE3ECC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  <w:r w:rsidRPr="004411B7">
        <w:rPr>
          <w:rFonts w:ascii="Arial" w:hAnsi="Arial" w:cs="Arial"/>
          <w:color w:val="000000" w:themeColor="text1"/>
          <w:lang w:val="es-ES_tradnl"/>
        </w:rPr>
        <w:t>En producción forestal, se verificaron 53 planes de aprovechamiento, se aprobaron 141,85 hectáreas para plantaciones y se generó un valor económico estimado en 637.428</w:t>
      </w:r>
      <w:r>
        <w:rPr>
          <w:rFonts w:ascii="Arial" w:hAnsi="Arial" w:cs="Arial"/>
          <w:color w:val="000000" w:themeColor="text1"/>
          <w:lang w:val="es-ES_tradnl"/>
        </w:rPr>
        <w:t xml:space="preserve"> dólares</w:t>
      </w:r>
      <w:r w:rsidRPr="004411B7">
        <w:rPr>
          <w:rFonts w:ascii="Arial" w:hAnsi="Arial" w:cs="Arial"/>
          <w:color w:val="000000" w:themeColor="text1"/>
          <w:lang w:val="es-ES_tradnl"/>
        </w:rPr>
        <w:t>.</w:t>
      </w:r>
    </w:p>
    <w:p w14:paraId="72265D44" w14:textId="77777777" w:rsidR="00DE3ECC" w:rsidRPr="004411B7" w:rsidRDefault="00DE3ECC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</w:p>
    <w:p w14:paraId="44D4F7A8" w14:textId="49403DFD" w:rsidR="00DE3ECC" w:rsidRPr="004411B7" w:rsidRDefault="00DE3ECC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  <w:r w:rsidRPr="004411B7">
        <w:rPr>
          <w:rFonts w:ascii="Arial" w:hAnsi="Arial" w:cs="Arial"/>
          <w:color w:val="000000" w:themeColor="text1"/>
          <w:lang w:val="es-ES_tradnl"/>
        </w:rPr>
        <w:t xml:space="preserve">El MAG fortaleció la organización agropecuaria con la capacitación de 288 productores y la formalización de 37 directivas de asociaciones y 34 cabildos de comunas. Además, se generaron 281.156,95 </w:t>
      </w:r>
      <w:r>
        <w:rPr>
          <w:rFonts w:ascii="Arial" w:hAnsi="Arial" w:cs="Arial"/>
          <w:color w:val="000000" w:themeColor="text1"/>
          <w:lang w:val="es-ES_tradnl"/>
        </w:rPr>
        <w:t xml:space="preserve">dólares </w:t>
      </w:r>
      <w:r w:rsidRPr="004411B7">
        <w:rPr>
          <w:rFonts w:ascii="Arial" w:hAnsi="Arial" w:cs="Arial"/>
          <w:color w:val="000000" w:themeColor="text1"/>
          <w:lang w:val="es-ES_tradnl"/>
        </w:rPr>
        <w:t>en ventas a través de eventos como Loja Agroproductiva y Emprendedora, el III Encuentro Mayorista de Arroz y ruedas de negocios de café y maíz.</w:t>
      </w:r>
    </w:p>
    <w:p w14:paraId="392DCEE9" w14:textId="77777777" w:rsidR="00DE3ECC" w:rsidRPr="004411B7" w:rsidRDefault="00DE3ECC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</w:p>
    <w:p w14:paraId="28E27C24" w14:textId="77777777" w:rsidR="00C12A2D" w:rsidRDefault="00DE3ECC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  <w:r w:rsidRPr="004411B7">
        <w:rPr>
          <w:rFonts w:ascii="Arial" w:hAnsi="Arial" w:cs="Arial"/>
          <w:color w:val="000000" w:themeColor="text1"/>
          <w:lang w:val="es-ES_tradnl"/>
        </w:rPr>
        <w:t xml:space="preserve">El proyecto CampoSeguro atendió 208 siniestros, </w:t>
      </w:r>
      <w:r>
        <w:rPr>
          <w:rFonts w:ascii="Arial" w:hAnsi="Arial" w:cs="Arial"/>
          <w:color w:val="000000" w:themeColor="text1"/>
          <w:lang w:val="es-ES_tradnl"/>
        </w:rPr>
        <w:t>y otorgó indemnizaciones por 287.170,35 dólares; s</w:t>
      </w:r>
      <w:r w:rsidRPr="004411B7">
        <w:rPr>
          <w:rFonts w:ascii="Arial" w:hAnsi="Arial" w:cs="Arial"/>
          <w:color w:val="000000" w:themeColor="text1"/>
          <w:lang w:val="es-ES_tradnl"/>
        </w:rPr>
        <w:t xml:space="preserve">e ejecutaron más de 1.100 capacitaciones y 460 asesoramientos técnicos. </w:t>
      </w:r>
    </w:p>
    <w:p w14:paraId="76EE675D" w14:textId="77777777" w:rsidR="00C12A2D" w:rsidRDefault="00C12A2D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</w:p>
    <w:p w14:paraId="2D67832F" w14:textId="6279261A" w:rsidR="00DE3ECC" w:rsidRPr="004411B7" w:rsidRDefault="00DE3ECC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  <w:r w:rsidRPr="004411B7">
        <w:rPr>
          <w:rFonts w:ascii="Arial" w:hAnsi="Arial" w:cs="Arial"/>
          <w:color w:val="000000" w:themeColor="text1"/>
          <w:lang w:val="es-ES_tradnl"/>
        </w:rPr>
        <w:t>A través del Registro Nacional Agropecuario (RNA) y el Registro de Productor Comerciante (RPC), se emitieron guías para movilización de productos como arroz y cebolla</w:t>
      </w:r>
      <w:r w:rsidR="00C12A2D">
        <w:rPr>
          <w:rFonts w:ascii="Arial" w:hAnsi="Arial" w:cs="Arial"/>
          <w:color w:val="000000" w:themeColor="text1"/>
          <w:lang w:val="es-ES_tradnl"/>
        </w:rPr>
        <w:t>, así como se e</w:t>
      </w:r>
      <w:r w:rsidRPr="004411B7">
        <w:rPr>
          <w:rFonts w:ascii="Arial" w:hAnsi="Arial" w:cs="Arial"/>
          <w:color w:val="000000" w:themeColor="text1"/>
          <w:lang w:val="es-ES_tradnl"/>
        </w:rPr>
        <w:t xml:space="preserve">jecutó un operativo de control en piladoras de arroz en Macará en coordinación con </w:t>
      </w:r>
      <w:r w:rsidR="00C12A2D">
        <w:rPr>
          <w:rFonts w:ascii="Arial" w:hAnsi="Arial" w:cs="Arial"/>
          <w:color w:val="000000" w:themeColor="text1"/>
          <w:lang w:val="es-ES_tradnl"/>
        </w:rPr>
        <w:t xml:space="preserve">el </w:t>
      </w:r>
      <w:r w:rsidR="00C12A2D" w:rsidRPr="00C12A2D">
        <w:rPr>
          <w:rFonts w:ascii="Arial" w:hAnsi="Arial" w:cs="Arial"/>
          <w:color w:val="000000" w:themeColor="text1"/>
        </w:rPr>
        <w:t>Servicio Nacional de Aduana del Ecuador</w:t>
      </w:r>
      <w:r w:rsidR="00C12A2D">
        <w:rPr>
          <w:rFonts w:ascii="Arial" w:hAnsi="Arial" w:cs="Arial"/>
          <w:color w:val="000000" w:themeColor="text1"/>
        </w:rPr>
        <w:t xml:space="preserve"> (</w:t>
      </w:r>
      <w:r w:rsidRPr="004411B7">
        <w:rPr>
          <w:rFonts w:ascii="Arial" w:hAnsi="Arial" w:cs="Arial"/>
          <w:color w:val="000000" w:themeColor="text1"/>
          <w:lang w:val="es-ES_tradnl"/>
        </w:rPr>
        <w:t>SENAE</w:t>
      </w:r>
      <w:r w:rsidR="00C12A2D">
        <w:rPr>
          <w:rFonts w:ascii="Arial" w:hAnsi="Arial" w:cs="Arial"/>
          <w:color w:val="000000" w:themeColor="text1"/>
          <w:lang w:val="es-ES_tradnl"/>
        </w:rPr>
        <w:t>)</w:t>
      </w:r>
      <w:r w:rsidRPr="004411B7">
        <w:rPr>
          <w:rFonts w:ascii="Arial" w:hAnsi="Arial" w:cs="Arial"/>
          <w:color w:val="000000" w:themeColor="text1"/>
          <w:lang w:val="es-ES_tradnl"/>
        </w:rPr>
        <w:t xml:space="preserve"> y autoridades locales.</w:t>
      </w:r>
    </w:p>
    <w:p w14:paraId="772060F0" w14:textId="77777777" w:rsidR="00DE3ECC" w:rsidRPr="004411B7" w:rsidRDefault="00DE3ECC" w:rsidP="00C12A2D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  <w:r>
        <w:rPr>
          <w:rFonts w:ascii="Arial" w:hAnsi="Arial" w:cs="Arial"/>
          <w:color w:val="000000" w:themeColor="text1"/>
          <w:lang w:val="es-ES_tradnl"/>
        </w:rPr>
        <w:t xml:space="preserve"> </w:t>
      </w:r>
    </w:p>
    <w:p w14:paraId="2E60726F" w14:textId="5FB5CC4E" w:rsidR="00DF5269" w:rsidRDefault="00DE3ECC" w:rsidP="00B901C2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  <w:r w:rsidRPr="004411B7">
        <w:rPr>
          <w:rFonts w:ascii="Arial" w:hAnsi="Arial" w:cs="Arial"/>
          <w:color w:val="000000" w:themeColor="text1"/>
          <w:lang w:val="es-ES_tradnl"/>
        </w:rPr>
        <w:t>Durante su intervención, Freddy Pazmiño, director distrital del MAG en Loja, destacó que "la articulación con los gobiernos locales, organizaciones de productores y actores del territorio ha sido clave para lograr resultados tangibles</w:t>
      </w:r>
      <w:r w:rsidR="00C12A2D">
        <w:rPr>
          <w:rFonts w:ascii="Arial" w:hAnsi="Arial" w:cs="Arial"/>
          <w:color w:val="000000" w:themeColor="text1"/>
          <w:lang w:val="es-ES_tradnl"/>
        </w:rPr>
        <w:t>,</w:t>
      </w:r>
      <w:r w:rsidRPr="004411B7">
        <w:rPr>
          <w:rFonts w:ascii="Arial" w:hAnsi="Arial" w:cs="Arial"/>
          <w:color w:val="000000" w:themeColor="text1"/>
          <w:lang w:val="es-ES_tradnl"/>
        </w:rPr>
        <w:t xml:space="preserve"> que impactan directamente en la calidad de vida de nuestras comunidades rurales".</w:t>
      </w:r>
    </w:p>
    <w:p w14:paraId="29D59262" w14:textId="77777777" w:rsidR="00B901C2" w:rsidRDefault="00B901C2" w:rsidP="00B901C2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</w:p>
    <w:p w14:paraId="7A05D4BA" w14:textId="119269FE" w:rsidR="00B901C2" w:rsidRPr="00B901C2" w:rsidRDefault="00B901C2" w:rsidP="00B901C2">
      <w:pPr>
        <w:ind w:left="-284" w:right="-427"/>
        <w:jc w:val="both"/>
        <w:rPr>
          <w:rFonts w:ascii="Arial" w:hAnsi="Arial" w:cs="Arial"/>
          <w:color w:val="000000" w:themeColor="text1"/>
          <w:lang w:val="es-ES_tradnl"/>
        </w:rPr>
      </w:pPr>
      <w:r>
        <w:rPr>
          <w:rFonts w:ascii="Arial" w:hAnsi="Arial" w:cs="Arial"/>
          <w:color w:val="000000" w:themeColor="text1"/>
          <w:lang w:val="es-ES_tradnl"/>
        </w:rPr>
        <w:t xml:space="preserve">Para recoger las propuestas de mejora, se instalaron las mesas de: </w:t>
      </w:r>
      <w:r w:rsidRPr="00B901C2">
        <w:rPr>
          <w:rFonts w:ascii="Arial" w:hAnsi="Arial" w:cs="Arial"/>
          <w:color w:val="000000" w:themeColor="text1"/>
          <w:lang w:val="es-ES_tradnl"/>
        </w:rPr>
        <w:t xml:space="preserve">desarrollo </w:t>
      </w:r>
      <w:r>
        <w:rPr>
          <w:rFonts w:ascii="Arial" w:hAnsi="Arial" w:cs="Arial"/>
          <w:color w:val="000000" w:themeColor="text1"/>
          <w:lang w:val="es-ES_tradnl"/>
        </w:rPr>
        <w:t>p</w:t>
      </w:r>
      <w:r w:rsidRPr="00B901C2">
        <w:rPr>
          <w:rFonts w:ascii="Arial" w:hAnsi="Arial" w:cs="Arial"/>
          <w:color w:val="000000" w:themeColor="text1"/>
          <w:lang w:val="es-ES_tradnl"/>
        </w:rPr>
        <w:t xml:space="preserve">roductivo, desarrollo </w:t>
      </w:r>
      <w:r>
        <w:rPr>
          <w:rFonts w:ascii="Arial" w:hAnsi="Arial" w:cs="Arial"/>
          <w:color w:val="000000" w:themeColor="text1"/>
          <w:lang w:val="es-ES_tradnl"/>
        </w:rPr>
        <w:t>r</w:t>
      </w:r>
      <w:r w:rsidRPr="00B901C2">
        <w:rPr>
          <w:rFonts w:ascii="Arial" w:hAnsi="Arial" w:cs="Arial"/>
          <w:color w:val="000000" w:themeColor="text1"/>
          <w:lang w:val="es-ES_tradnl"/>
        </w:rPr>
        <w:t xml:space="preserve">ural </w:t>
      </w:r>
      <w:r>
        <w:rPr>
          <w:rFonts w:ascii="Arial" w:hAnsi="Arial" w:cs="Arial"/>
          <w:color w:val="000000" w:themeColor="text1"/>
          <w:lang w:val="es-ES_tradnl"/>
        </w:rPr>
        <w:t xml:space="preserve">(2) </w:t>
      </w:r>
      <w:r w:rsidRPr="00B901C2">
        <w:rPr>
          <w:rFonts w:ascii="Arial" w:hAnsi="Arial" w:cs="Arial"/>
          <w:color w:val="000000" w:themeColor="text1"/>
          <w:lang w:val="es-ES_tradnl"/>
        </w:rPr>
        <w:t>y</w:t>
      </w:r>
      <w:r>
        <w:rPr>
          <w:rFonts w:ascii="Arial" w:hAnsi="Arial" w:cs="Arial"/>
          <w:color w:val="000000" w:themeColor="text1"/>
          <w:lang w:val="es-ES_tradnl"/>
        </w:rPr>
        <w:t xml:space="preserve"> p</w:t>
      </w:r>
      <w:r w:rsidRPr="00B901C2">
        <w:rPr>
          <w:rFonts w:ascii="Arial" w:hAnsi="Arial" w:cs="Arial"/>
          <w:color w:val="000000" w:themeColor="text1"/>
          <w:lang w:val="es-ES_tradnl"/>
        </w:rPr>
        <w:t xml:space="preserve">roductos y </w:t>
      </w:r>
      <w:r>
        <w:rPr>
          <w:rFonts w:ascii="Arial" w:hAnsi="Arial" w:cs="Arial"/>
          <w:color w:val="000000" w:themeColor="text1"/>
          <w:lang w:val="es-ES_tradnl"/>
        </w:rPr>
        <w:t>s</w:t>
      </w:r>
      <w:r w:rsidRPr="00B901C2">
        <w:rPr>
          <w:rFonts w:ascii="Arial" w:hAnsi="Arial" w:cs="Arial"/>
          <w:color w:val="000000" w:themeColor="text1"/>
          <w:lang w:val="es-ES_tradnl"/>
        </w:rPr>
        <w:t>ervicios</w:t>
      </w:r>
      <w:r>
        <w:rPr>
          <w:rFonts w:ascii="Arial" w:hAnsi="Arial" w:cs="Arial"/>
          <w:color w:val="000000" w:themeColor="text1"/>
          <w:lang w:val="es-ES_tradnl"/>
        </w:rPr>
        <w:t>.</w:t>
      </w:r>
    </w:p>
    <w:p w14:paraId="3B5F8972" w14:textId="77777777" w:rsidR="00DF5269" w:rsidRDefault="00DF5269" w:rsidP="00C12A2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sectPr w:rsidR="00DF5269" w:rsidSect="00E41D61">
      <w:headerReference w:type="default" r:id="rId7"/>
      <w:footerReference w:type="default" r:id="rId8"/>
      <w:pgSz w:w="11900" w:h="16840"/>
      <w:pgMar w:top="2268" w:right="1701" w:bottom="1417" w:left="1701" w:header="1134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E0CA42" w14:textId="77777777" w:rsidR="00A91F75" w:rsidRDefault="00A91F75">
      <w:r>
        <w:separator/>
      </w:r>
    </w:p>
  </w:endnote>
  <w:endnote w:type="continuationSeparator" w:id="0">
    <w:p w14:paraId="02F43B02" w14:textId="77777777" w:rsidR="00A91F75" w:rsidRDefault="00A91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4F8AE" w14:textId="114FD887" w:rsidR="00DF5269" w:rsidRDefault="00E41D6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478"/>
      </w:tabs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noProof/>
        <w:color w:val="000000"/>
        <w:lang w:val="es-EC" w:eastAsia="es-EC"/>
      </w:rPr>
      <w:drawing>
        <wp:anchor distT="0" distB="0" distL="0" distR="0" simplePos="0" relativeHeight="251660288" behindDoc="1" locked="0" layoutInCell="1" hidden="0" allowOverlap="1" wp14:anchorId="422B2204" wp14:editId="1EE33C0E">
          <wp:simplePos x="0" y="0"/>
          <wp:positionH relativeFrom="margin">
            <wp:align>center</wp:align>
          </wp:positionH>
          <wp:positionV relativeFrom="page">
            <wp:posOffset>9499600</wp:posOffset>
          </wp:positionV>
          <wp:extent cx="7620236" cy="1421178"/>
          <wp:effectExtent l="0" t="0" r="0" b="7620"/>
          <wp:wrapNone/>
          <wp:docPr id="928148295" name="image1.png" descr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age2.png"/>
                  <pic:cNvPicPr preferRelativeResize="0"/>
                </pic:nvPicPr>
                <pic:blipFill>
                  <a:blip r:embed="rId1"/>
                  <a:srcRect t="3374" b="3374"/>
                  <a:stretch>
                    <a:fillRect/>
                  </a:stretch>
                </pic:blipFill>
                <pic:spPr>
                  <a:xfrm>
                    <a:off x="0" y="0"/>
                    <a:ext cx="7620236" cy="14211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6B2ED" w14:textId="77777777" w:rsidR="00A91F75" w:rsidRDefault="00A91F75">
      <w:r>
        <w:separator/>
      </w:r>
    </w:p>
  </w:footnote>
  <w:footnote w:type="continuationSeparator" w:id="0">
    <w:p w14:paraId="1621F466" w14:textId="77777777" w:rsidR="00A91F75" w:rsidRDefault="00A91F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9AC92" w14:textId="26CC93D3" w:rsidR="00DF5269" w:rsidRDefault="00E41D6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478"/>
      </w:tabs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noProof/>
        <w:color w:val="000000"/>
        <w:lang w:val="es-EC" w:eastAsia="es-EC"/>
      </w:rPr>
      <w:drawing>
        <wp:anchor distT="0" distB="0" distL="0" distR="0" simplePos="0" relativeHeight="251662336" behindDoc="1" locked="0" layoutInCell="1" hidden="0" allowOverlap="1" wp14:anchorId="60FD7D9D" wp14:editId="58A0F01B">
          <wp:simplePos x="0" y="0"/>
          <wp:positionH relativeFrom="page">
            <wp:posOffset>32385</wp:posOffset>
          </wp:positionH>
          <wp:positionV relativeFrom="page">
            <wp:align>top</wp:align>
          </wp:positionV>
          <wp:extent cx="7558405" cy="1238250"/>
          <wp:effectExtent l="0" t="0" r="4445" b="0"/>
          <wp:wrapNone/>
          <wp:docPr id="1109350323" name="image2.pn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age1.png"/>
                  <pic:cNvPicPr preferRelativeResize="0"/>
                </pic:nvPicPr>
                <pic:blipFill>
                  <a:blip r:embed="rId1"/>
                  <a:srcRect t="9042" b="9042"/>
                  <a:stretch>
                    <a:fillRect/>
                  </a:stretch>
                </pic:blipFill>
                <pic:spPr>
                  <a:xfrm>
                    <a:off x="0" y="0"/>
                    <a:ext cx="7558405" cy="1238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noProof/>
        <w:color w:val="000000"/>
        <w:lang w:val="es-EC" w:eastAsia="es-EC"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56FC6590" wp14:editId="20C94CC2">
              <wp:simplePos x="0" y="0"/>
              <wp:positionH relativeFrom="page">
                <wp:posOffset>778199</wp:posOffset>
              </wp:positionH>
              <wp:positionV relativeFrom="page">
                <wp:posOffset>434340</wp:posOffset>
              </wp:positionV>
              <wp:extent cx="1590029" cy="377125"/>
              <wp:effectExtent l="0" t="0" r="0" b="0"/>
              <wp:wrapNone/>
              <wp:docPr id="1073741832" name="Rectángulo 1073741832" descr="Boletín N° 0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555748" y="3596200"/>
                        <a:ext cx="1580504" cy="36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971366" w14:textId="77777777" w:rsidR="00DF5269" w:rsidRDefault="00A91F75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28"/>
                            </w:rPr>
                            <w:t>Boletín N° 000</w:t>
                          </w:r>
                        </w:p>
                      </w:txbxContent>
                    </wps:txbx>
                    <wps:bodyPr spcFirstLastPara="1" wrap="square" lIns="45675" tIns="45675" rIns="45675" bIns="45675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6FC6590" id="Rectángulo 1073741832" o:spid="_x0000_s1028" alt="Boletín N° 000" style="position:absolute;margin-left:61.3pt;margin-top:34.2pt;width:125.2pt;height:29.7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" filled="f" stroked="f">
              <v:textbox inset="1.26875mm,1.26875mm,1.26875mm,1.26875mm">
                <w:txbxContent>
                  <w:p w14:paraId="4C971366" w14:textId="77777777" w:rsidR="00DF5269" w:rsidRDefault="00000000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FFFF"/>
                        <w:sz w:val="28"/>
                      </w:rPr>
                      <w:t>Boletín N° 000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269"/>
    <w:rsid w:val="002446B5"/>
    <w:rsid w:val="00252C0A"/>
    <w:rsid w:val="002F00E9"/>
    <w:rsid w:val="00460CAD"/>
    <w:rsid w:val="00532281"/>
    <w:rsid w:val="00643241"/>
    <w:rsid w:val="00805824"/>
    <w:rsid w:val="00806757"/>
    <w:rsid w:val="00837A8A"/>
    <w:rsid w:val="009D68FD"/>
    <w:rsid w:val="009F36C2"/>
    <w:rsid w:val="00A420B6"/>
    <w:rsid w:val="00A91F75"/>
    <w:rsid w:val="00AA350E"/>
    <w:rsid w:val="00B75515"/>
    <w:rsid w:val="00B901C2"/>
    <w:rsid w:val="00C12A2D"/>
    <w:rsid w:val="00C553E4"/>
    <w:rsid w:val="00CA3C64"/>
    <w:rsid w:val="00DE3ECC"/>
    <w:rsid w:val="00DF5269"/>
    <w:rsid w:val="00E41D61"/>
    <w:rsid w:val="00FA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31057"/>
  <w15:docId w15:val="{57D1792C-E378-477C-8301-E37306FF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Calibri" w:eastAsia="Arial Unicode MS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Ninguno">
    <w:name w:val="Ninguno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252C0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52C0A"/>
    <w:rPr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252C0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52C0A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NNPUdWIwJ0At226Wtyh0FFPyeg==">CgMxLjA4AHIhMTBoV1hUdjFTUjNteVNNblBiSmd0bzY2dHBJYlRUTVBF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650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Alberto Gualotuña Pastrano</dc:creator>
  <cp:lastModifiedBy>María Fernanda Ruíz Inaguazo</cp:lastModifiedBy>
  <cp:revision>2</cp:revision>
  <dcterms:created xsi:type="dcterms:W3CDTF">2025-06-19T21:14:00Z</dcterms:created>
  <dcterms:modified xsi:type="dcterms:W3CDTF">2025-06-19T21:14:00Z</dcterms:modified>
</cp:coreProperties>
</file>